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50" w:type="pct"/>
        <w:tblInd w:w="108" w:type="dxa"/>
        <w:tblLook w:val="04A0"/>
      </w:tblPr>
      <w:tblGrid>
        <w:gridCol w:w="702"/>
        <w:gridCol w:w="2419"/>
        <w:gridCol w:w="1370"/>
        <w:gridCol w:w="4737"/>
        <w:gridCol w:w="1652"/>
      </w:tblGrid>
      <w:tr w:rsidR="00254400" w:rsidRPr="00254400" w:rsidTr="00254400">
        <w:trPr>
          <w:trHeight w:val="255"/>
        </w:trPr>
        <w:tc>
          <w:tcPr>
            <w:tcW w:w="776" w:type="dxa"/>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Level</w:t>
            </w:r>
          </w:p>
        </w:tc>
        <w:tc>
          <w:tcPr>
            <w:tcW w:w="2756" w:type="dxa"/>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p>
        </w:tc>
        <w:tc>
          <w:tcPr>
            <w:tcW w:w="6976" w:type="dxa"/>
            <w:gridSpan w:val="2"/>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xml:space="preserve">: Kabupaten Musi Banyu Asin </w:t>
            </w:r>
          </w:p>
        </w:tc>
        <w:tc>
          <w:tcPr>
            <w:tcW w:w="1872" w:type="dxa"/>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255"/>
        </w:trPr>
        <w:tc>
          <w:tcPr>
            <w:tcW w:w="3532" w:type="dxa"/>
            <w:gridSpan w:val="2"/>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Komponen</w:t>
            </w:r>
          </w:p>
        </w:tc>
        <w:tc>
          <w:tcPr>
            <w:tcW w:w="6976" w:type="dxa"/>
            <w:gridSpan w:val="2"/>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A. Hukum dan Kebijakan</w:t>
            </w:r>
          </w:p>
        </w:tc>
        <w:tc>
          <w:tcPr>
            <w:tcW w:w="1872" w:type="dxa"/>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255"/>
        </w:trPr>
        <w:tc>
          <w:tcPr>
            <w:tcW w:w="776" w:type="dxa"/>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56" w:type="dxa"/>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7" w:type="dxa"/>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9" w:type="dxa"/>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872" w:type="dxa"/>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255"/>
        </w:trPr>
        <w:tc>
          <w:tcPr>
            <w:tcW w:w="3532" w:type="dxa"/>
            <w:gridSpan w:val="2"/>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Isu dalam PGA REDD+</w:t>
            </w:r>
          </w:p>
        </w:tc>
        <w:tc>
          <w:tcPr>
            <w:tcW w:w="6976" w:type="dxa"/>
            <w:gridSpan w:val="2"/>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xml:space="preserve">:  I. Perencanaan Kehutanan dan Tata Ruang </w:t>
            </w:r>
          </w:p>
        </w:tc>
        <w:tc>
          <w:tcPr>
            <w:tcW w:w="1872" w:type="dxa"/>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645"/>
        </w:trPr>
        <w:tc>
          <w:tcPr>
            <w:tcW w:w="3532" w:type="dxa"/>
            <w:gridSpan w:val="2"/>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48" w:type="dxa"/>
            <w:gridSpan w:val="3"/>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xml:space="preserve">: a. Keberadaan dan komprehensiveness aturan yang mengatur transparansi penyusunan perencanaan kehutanan dan Rencana Tata Ruang dan Rencana Wilayah (RTRW) </w:t>
            </w:r>
          </w:p>
        </w:tc>
      </w:tr>
      <w:tr w:rsidR="00254400" w:rsidRPr="00254400" w:rsidTr="00254400">
        <w:trPr>
          <w:trHeight w:val="975"/>
        </w:trPr>
        <w:tc>
          <w:tcPr>
            <w:tcW w:w="776" w:type="dxa"/>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FF0000"/>
                <w:sz w:val="20"/>
                <w:szCs w:val="20"/>
                <w:lang w:eastAsia="id-ID"/>
              </w:rPr>
            </w:pPr>
            <w:r w:rsidRPr="00254400">
              <w:rPr>
                <w:rFonts w:ascii="Times New Roman" w:eastAsia="Times New Roman" w:hAnsi="Times New Roman" w:cs="Times New Roman"/>
                <w:b/>
                <w:bCs/>
                <w:color w:val="FF0000"/>
                <w:sz w:val="20"/>
                <w:szCs w:val="20"/>
                <w:lang w:eastAsia="id-ID"/>
              </w:rPr>
              <w:t xml:space="preserve"> </w:t>
            </w:r>
          </w:p>
        </w:tc>
        <w:tc>
          <w:tcPr>
            <w:tcW w:w="2756" w:type="dxa"/>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FF0000"/>
                <w:sz w:val="20"/>
                <w:szCs w:val="20"/>
                <w:lang w:eastAsia="id-ID"/>
              </w:rPr>
            </w:pPr>
          </w:p>
        </w:tc>
        <w:tc>
          <w:tcPr>
            <w:tcW w:w="8848" w:type="dxa"/>
            <w:gridSpan w:val="3"/>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bl>
    <w:p w:rsidR="00D74DB4" w:rsidRDefault="00D74DB4"/>
    <w:tbl>
      <w:tblPr>
        <w:tblW w:w="1250" w:type="pct"/>
        <w:tblInd w:w="103" w:type="dxa"/>
        <w:tblLook w:val="04A0"/>
      </w:tblPr>
      <w:tblGrid>
        <w:gridCol w:w="697"/>
        <w:gridCol w:w="2404"/>
        <w:gridCol w:w="1364"/>
        <w:gridCol w:w="4727"/>
        <w:gridCol w:w="1693"/>
      </w:tblGrid>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nil"/>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1129"/>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AIa1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Data/informasi pembuatan RTRW</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ada dalam Perda No 3 tahun 2004 dalam pasal 58 ayat 4 point b,c dimana instansi yangberwenang harus mengumumkan proses penataan ruang dan rencana penyusunan tata ruang wilayah </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4</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AIa2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Informasi rencana pembentukan RTRW(P)</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ada dalam Perda No 3 tahun 2004 dalam pasal 58 ayat 4 point b,c dimana instansi yangberwenang harus mengumumkan proses penataan ruang dan rencana penyusunan tata ruang wilayah </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4</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AIa3</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Pengumuman usulan perubahan peruntukan</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ada dalam Perda No 3 tahun 2004 dalam pasal 58 ayat 4 point g dimana instansi yangberwenang harus menindaklanjuti saran, usul atau keberatan dari masyarakat  dalam rangka peningkatan mutu pelayanan  ruang</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4</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AIa4</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Kejelasan informasi  yang dapat diakses berdasarkan uji konsekuensi</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dalam perda 3 tahun 2004 </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66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b. Keberadaan dan komprehensiveness aturan yang mengatur penyusunan perencanaan kehutanan dan Rencana Tata Ruang dan Rencana Wilayah (RTRW) yang partisipatif</w:t>
            </w:r>
          </w:p>
        </w:tc>
      </w:tr>
      <w:tr w:rsidR="00254400" w:rsidRPr="00254400" w:rsidTr="00254400">
        <w:trPr>
          <w:trHeight w:val="855"/>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Objek Analisis</w:t>
            </w:r>
          </w:p>
        </w:tc>
        <w:tc>
          <w:tcPr>
            <w:tcW w:w="8880" w:type="dxa"/>
            <w:gridSpan w:val="3"/>
            <w:tcBorders>
              <w:top w:val="nil"/>
              <w:left w:val="nil"/>
              <w:bottom w:val="single" w:sz="4" w:space="0" w:color="auto"/>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nil"/>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AIb1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pengambilan keputusan yang memudahkan keterlibatan pihak yang berkepentingan</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AIb2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Petugas khusus yang bertanggung jawab mengelola masukan publik</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AIb3</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Dokumentasi setiap masukan (tertulis/tidak tertulis)</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AIb4</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respon terhadap masukan yang ada</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AIb5</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Penjelasan atas keputusan akhir yang diambil</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AIb6</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Pelaksanaan proses partisipasi</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ada Perda No 3 tahun 2004 tentang RTRW Musibanyuasin pasal 56-57 tentang peran serta masyarakat dan tata cara tentang tata cara peran serta masyarakat dalam penataan ruang</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3</w:t>
            </w:r>
          </w:p>
        </w:tc>
      </w:tr>
      <w:tr w:rsidR="00254400" w:rsidRPr="00254400" w:rsidTr="00254400">
        <w:trPr>
          <w:trHeight w:val="255"/>
        </w:trPr>
        <w:tc>
          <w:tcPr>
            <w:tcW w:w="760" w:type="dxa"/>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75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lastRenderedPageBreak/>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c. Keberadaan dan komprehensiveness aturan yang mengatur program peningkatan kapasitas masyarakat dalam proses perencanaan kehutanan dan Rencana Tata Ruang dan Rencana Wilayah (RTRW)</w:t>
            </w:r>
          </w:p>
        </w:tc>
      </w:tr>
      <w:tr w:rsidR="00254400" w:rsidRPr="00254400" w:rsidTr="00254400">
        <w:trPr>
          <w:trHeight w:val="975"/>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Objek Analisis</w:t>
            </w:r>
          </w:p>
        </w:tc>
        <w:tc>
          <w:tcPr>
            <w:tcW w:w="8880" w:type="dxa"/>
            <w:gridSpan w:val="3"/>
            <w:tcBorders>
              <w:top w:val="nil"/>
              <w:left w:val="nil"/>
              <w:bottom w:val="single" w:sz="4" w:space="0" w:color="auto"/>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 RPJMN/D, Renstranas/da</w:t>
            </w:r>
          </w:p>
        </w:tc>
      </w:tr>
      <w:tr w:rsidR="00254400" w:rsidRPr="00254400" w:rsidTr="00254400">
        <w:trPr>
          <w:trHeight w:val="255"/>
        </w:trPr>
        <w:tc>
          <w:tcPr>
            <w:tcW w:w="760" w:type="dxa"/>
            <w:tcBorders>
              <w:top w:val="single" w:sz="4" w:space="0" w:color="auto"/>
              <w:left w:val="single" w:sz="4" w:space="0" w:color="auto"/>
              <w:bottom w:val="nil"/>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nil"/>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nil"/>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nil"/>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nil"/>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178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AIc1</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Program peningkatan kapasitas masyarakat Adat/ Lokal dalam perencanaan kehutanan dan wilayah</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ada dalam Perda No 3 tahun 2004 tentang RTRW Musi Banyuasin, pasal 58 ayat 3 tentang pemberdayaan masyarakat dimana untuk terlaksananya tujuan terlaksananya upaya peningkatan tata laksana hak dan kewajiban, maka pemerintah menyelenggarakan pemberdayaan untuk menumbuhkan  serta  mengembangkan  kesadaran,  memberdayakan  dan  peningkatan  tanggung  jawab  masyarakat  dalam  penataan ruang</w:t>
            </w:r>
          </w:p>
        </w:tc>
        <w:tc>
          <w:tcPr>
            <w:tcW w:w="1920" w:type="dxa"/>
            <w:tcBorders>
              <w:top w:val="single" w:sz="4" w:space="0" w:color="auto"/>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4</w:t>
            </w:r>
          </w:p>
        </w:tc>
      </w:tr>
      <w:tr w:rsidR="00254400" w:rsidRPr="00254400" w:rsidTr="00254400">
        <w:trPr>
          <w:trHeight w:val="178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AIc2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Program peningkatan kapasitas pemerintah dalam perencanaan kehuatanan dan wilayah</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ada dalam Perda No 3 tahun 2004 tentang RTRW Musi Banyuasin, pasal 58 ayat 3 tentang pemberdayaan masyarakat dimana untuk terlaksananya tujuan terlaksananya upaya peningkatan tata laksana hak dan kewajiban, maka pemerintah menyelenggarakan pemberdayaan untuk menumbuhkan  serta  mengembangkan  kesadaran,  memberdayakan  dan  peningkatan  tanggung  jawab  masyarakat  dalam  penataan ruang</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4</w:t>
            </w:r>
          </w:p>
        </w:tc>
      </w:tr>
      <w:tr w:rsidR="00254400" w:rsidRPr="00254400" w:rsidTr="00254400">
        <w:trPr>
          <w:trHeight w:val="255"/>
        </w:trPr>
        <w:tc>
          <w:tcPr>
            <w:tcW w:w="760" w:type="dxa"/>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945"/>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d. Keberadaan dan komprehensiveness aturan yang mengatur Mekanisme penanganan pengaduan dalam proses perencanaan kehutanan dan Rencana Tata Ruang dan Rencana Wilayah (RTRW)</w:t>
            </w:r>
          </w:p>
        </w:tc>
      </w:tr>
      <w:tr w:rsidR="00254400" w:rsidRPr="00254400" w:rsidTr="00254400">
        <w:trPr>
          <w:trHeight w:val="915"/>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254400" w:rsidRPr="00254400" w:rsidTr="00254400">
        <w:trPr>
          <w:trHeight w:val="255"/>
        </w:trPr>
        <w:tc>
          <w:tcPr>
            <w:tcW w:w="760" w:type="dxa"/>
            <w:tcBorders>
              <w:top w:val="single" w:sz="4" w:space="0" w:color="auto"/>
              <w:left w:val="single" w:sz="4" w:space="0" w:color="auto"/>
              <w:bottom w:val="nil"/>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nil"/>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nil"/>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nil"/>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nil"/>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76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AId1</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pengaduan (termasuk ketentuan tenggat waktu &amp; tindakan yang diambil)</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single" w:sz="4" w:space="0" w:color="auto"/>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AId2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resolusi konflik</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AId3</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Keahlian &amp; pemahaman mediator tentang isu-isu masyarakat adat/lokal</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33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Isu dalam PGA REDD+</w:t>
            </w:r>
          </w:p>
        </w:tc>
        <w:tc>
          <w:tcPr>
            <w:tcW w:w="696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II.Pengaturan Hak</w:t>
            </w: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69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a. Keberadaan dan komprehensiveness aturan yang mengatur transparansi penetapan hak kelola hutan bagi masyarakat adat/lokal dan bisnis</w:t>
            </w:r>
          </w:p>
        </w:tc>
      </w:tr>
      <w:tr w:rsidR="00254400" w:rsidRPr="00254400" w:rsidTr="00254400">
        <w:trPr>
          <w:trHeight w:val="63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Sumber (Undang2 keterbukaan informasi publik, PP, permenhut ttg pemberian ijin, pergub/bup (terkait kehutanan), Permenhut 7/2011</w:t>
            </w:r>
            <w:r w:rsidRPr="00254400">
              <w:rPr>
                <w:rFonts w:ascii="Times New Roman" w:eastAsia="Times New Roman" w:hAnsi="Times New Roman" w:cs="Times New Roman"/>
                <w:b/>
                <w:bCs/>
                <w:color w:val="000000"/>
                <w:sz w:val="20"/>
                <w:szCs w:val="20"/>
                <w:lang w:eastAsia="id-ID"/>
              </w:rPr>
              <w:br/>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AIIa1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Ketersediaan seluruh informasi secara sistematis sehingga mudah diakses</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ada dalam pasal 51 ayat 1-2 Perda No 3 tahun 2004 tentang RTRW tentang akses masyarakat terhadap keberadaan RTRW</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2</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lastRenderedPageBreak/>
              <w:t>AIIa2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Kewajiban memiliki petugas khusus yang menangani permintaan informasi</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Perbup</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Peraturan Bupati Musi Banyyu Asin N0 23 tahun 2010 SOP pada kantor pelayanan Perizinan Terpadu Kabupaten Musi Banyu Asin</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2</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AIIa3</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perda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Tidak ada dokumen yang spesifik tentang ini, hanya disinggung sedikit dalam perda No 3 tahun 2004 tentang  RTRW , pasal 58 Pemberdayaan Peranserta Masyarakt</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AIIa4</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Informasi yang diumumkan tentang rencana kegiatan/proyek yang disertai dengan dokumen pendukungnya</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perda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Tidak ada dokumen yang spesifik tentang ini, hanya disinggung sedikit dalam perda No 3 tahun 2004 tentang  RTRW , pasal 58 Pemberdayaan Peranserta Masyarakt</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AIIa5</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perda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Tidak ada dokumen yang spesifik tentang ini, hanya disinggung sedikit dalam perda No 3 tahun 2004 tentang  RTRW , pasal 58 Pemberdayaan Peranserta Masyarakt</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AIIa6</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Sanksi bagi pihak-pihak yang sengaja menghambat akses publik atas informasi</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Tidak ada dokumen yang spesifik tentang ini, hanya disinggung sedikit dalam perda No 3 tahun 2004 tentang  RTRW , pasal 58 Pemberdayaan Peranserta Masyarakt</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90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b. Keberadaan dan komprehensiveness aturan yang mengatur pengakuan atas hak kelola hutan yang dimiliki oleh masyarakat adat, masyarakat lokal dan bisnis  terhadap hutan</w:t>
            </w:r>
          </w:p>
        </w:tc>
      </w:tr>
      <w:tr w:rsidR="00254400" w:rsidRPr="00254400" w:rsidTr="00254400">
        <w:trPr>
          <w:trHeight w:val="39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UU, Permenhut, Perda</w:t>
            </w:r>
            <w:r w:rsidRPr="00254400">
              <w:rPr>
                <w:rFonts w:ascii="Times New Roman" w:eastAsia="Times New Roman" w:hAnsi="Times New Roman" w:cs="Times New Roman"/>
                <w:b/>
                <w:bCs/>
                <w:color w:val="000000"/>
                <w:sz w:val="20"/>
                <w:szCs w:val="20"/>
                <w:lang w:eastAsia="id-ID"/>
              </w:rPr>
              <w:br/>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AIIb1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Pengakuan atas pengelolaan wilayah adat/lokal (sejalan dengan struktur dan pola yang ada)</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AIIb2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mendapatkan izin pengelolaan</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AIIb3</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Keuntungan bagi masyarakat Adat/Lokal</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645"/>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c. Keberadaan dan komprehensiveness aturan yang mengatur perlindungan terhadap hak kelola hutan yang telah diberikan kepada masyarakat adat, masyarakat lokal dan bisnis</w:t>
            </w:r>
          </w:p>
        </w:tc>
      </w:tr>
      <w:tr w:rsidR="00254400" w:rsidRPr="00254400" w:rsidTr="00254400">
        <w:trPr>
          <w:trHeight w:val="39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UU, Permenhut, Perda</w:t>
            </w:r>
            <w:r w:rsidRPr="00254400">
              <w:rPr>
                <w:rFonts w:ascii="Times New Roman" w:eastAsia="Times New Roman" w:hAnsi="Times New Roman" w:cs="Times New Roman"/>
                <w:b/>
                <w:bCs/>
                <w:color w:val="000000"/>
                <w:sz w:val="20"/>
                <w:szCs w:val="20"/>
                <w:lang w:eastAsia="id-ID"/>
              </w:rPr>
              <w:br/>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AIIc1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Sanksi/ancaman hukum bagi yang melakukan perambahan (di atas lahan bebas konflik)</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secara umum perda No 3 tahun 2004 hanya menjelaskan soal sanksi terhadap pelanggaran perda, bukan pelanggaran secara lebih spesifik kepada masalah tertentu. Untuk sanksi, hanya dibagi 3 aspek; pidana, perdata dan administrasi.</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2</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AIIc2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Sanksi/ancaman hukum bagi pejabat pemberi izin (di atas lahan yang telah memiliki hak)</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secara umum perda No 3 tahun 2004 hanya menjelaskan soal sanksi terhadap pelanggaran perda, bukan pelanggaran secara lebih spesifik kepada masalah tertentu. Untuk sanksi, hanya dibagi 3 aspek; pidana, </w:t>
            </w:r>
            <w:r w:rsidRPr="00254400">
              <w:rPr>
                <w:rFonts w:ascii="Times New Roman" w:eastAsia="Times New Roman" w:hAnsi="Times New Roman" w:cs="Times New Roman"/>
                <w:color w:val="000000"/>
                <w:sz w:val="20"/>
                <w:szCs w:val="20"/>
                <w:lang w:eastAsia="id-ID"/>
              </w:rPr>
              <w:lastRenderedPageBreak/>
              <w:t>perdata dan administrasi.</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lastRenderedPageBreak/>
              <w:t>2</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lastRenderedPageBreak/>
              <w:t>AIIc3</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Ganti rugi bagi pemegang hak yang dirugikan (mudah &amp; memadai)</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secara umum perda No 3 tahun 2004 hanya menjelaskan soal sanksi terhadap pelanggaran perda, bukan pelanggaran secara lebih spesifik kepada masalah tertentu. Untuk sanksi, hanya dibagi 3 aspek; pidana, perdata dan administrasi.</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2</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90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d. Keberadaan dan komprehensiveness aturan yang mengatur program peningkatan kapasitas masyarakat untuk mengakses hak pengelolaan hutan</w:t>
            </w:r>
          </w:p>
        </w:tc>
      </w:tr>
      <w:tr w:rsidR="00254400" w:rsidRPr="00254400" w:rsidTr="00254400">
        <w:trPr>
          <w:trHeight w:val="39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UU, Permenhut, Perda</w:t>
            </w:r>
            <w:r w:rsidRPr="00254400">
              <w:rPr>
                <w:rFonts w:ascii="Times New Roman" w:eastAsia="Times New Roman" w:hAnsi="Times New Roman" w:cs="Times New Roman"/>
                <w:b/>
                <w:bCs/>
                <w:color w:val="000000"/>
                <w:sz w:val="20"/>
                <w:szCs w:val="20"/>
                <w:lang w:eastAsia="id-ID"/>
              </w:rPr>
              <w:br/>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178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AIId1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Program peningkatan kapasitas masyarakat Adat/ Lokal untuk mengakses hak pengelolaan hutan</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ada dalam Perda No 3 tahun 2004 tentang RTRW Musi Banyuasin, pasal 58 ayat 3 tentang pemberdayaan masyarakat dimana untuk terlaksananya tujuan terlaksananya upaya peningkatan tata laksana hak dan kewajiban, maka pemerintah menyelenggarakan pemberdayaan untuk menumbuhkan  serta  mengembangkan  kesadaran,  memberdayakan  dan  peningkatan  tanggung  jawab  masyarakat  dalam  penataan ruang</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3</w:t>
            </w:r>
          </w:p>
        </w:tc>
      </w:tr>
      <w:tr w:rsidR="00254400" w:rsidRPr="00254400" w:rsidTr="00254400">
        <w:trPr>
          <w:trHeight w:val="178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AIId2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Program peningkatan kapasitas pemerintah (pada tingkatan) lebih rendah</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ada dalam Perda No 3 tahun 2004 tentang RTRW Musi Banyuasin, pasal 58 ayat 3 tentang pemberdayaan masyarakat dimana untuk terlaksananya tujuan terlaksananya upaya peningkatan tata laksana hak dan kewajiban, maka pemerintah menyelenggarakan pemberdayaan untuk menumbuhkan  serta  mengembangkan  kesadaran,  memberdayakan  dan  peningkatan  tanggung  jawab  masyarakat  dalam  penataan ruang</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3</w:t>
            </w:r>
          </w:p>
        </w:tc>
      </w:tr>
      <w:tr w:rsidR="00254400" w:rsidRPr="00254400" w:rsidTr="00254400">
        <w:trPr>
          <w:trHeight w:val="178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AIId3</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mengakses anggaran peningkatan kapasitas bagi masyarakat Adat/Lokal</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ada dalam Perda No 3 tahun 2004 tentang RTRW Musi Banyuasin, pasal 58 ayat 3 tentang pemberdayaan masyarakat dimana untuk terlaksananya tujuan terlaksananya upaya peningkatan tata laksana hak dan kewajiban, maka pemerintah menyelenggarakan pemberdayaan untuk menumbuhkan  serta  mengembangkan  kesadaran,  memberdayakan  dan  peningkatan  tanggung  jawab  masyarakat  dalam  penataan ruang</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3</w:t>
            </w:r>
          </w:p>
        </w:tc>
      </w:tr>
      <w:tr w:rsidR="00254400" w:rsidRPr="00254400" w:rsidTr="00254400">
        <w:trPr>
          <w:trHeight w:val="178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AIId4</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Program peningkatan kapasitas masyarakat dan Pemerintah Daerah secara partisipatif</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ada dalam Perda No 3 tahun 2004 tentang RTRW Musi Banyuasin, pasal 58 ayat 3 tentang pemberdayaan masyarakat dimana untuk terlaksananya tujuan terlaksananya upaya peningkatan tata laksana hak dan kewajiban, maka pemerintah menyelenggarakan pemberdayaan untuk menumbuhkan  serta  mengembangkan  kesadaran,  memberdayakan  dan  peningkatan  tanggung  jawab  masyarakat  dalam  penataan ruang</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3</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33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Isu dalam PGA REDD+</w:t>
            </w:r>
          </w:p>
        </w:tc>
        <w:tc>
          <w:tcPr>
            <w:tcW w:w="696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III. Pengorganisasian Hutan</w:t>
            </w: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78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xml:space="preserve">: a. Keberadaan dan komprehensiveness aturan yang mengatur akuntablitas institusi pengelolaan hutan dan lahan gambut </w:t>
            </w:r>
          </w:p>
        </w:tc>
      </w:tr>
      <w:tr w:rsidR="00254400" w:rsidRPr="00254400" w:rsidTr="00254400">
        <w:trPr>
          <w:trHeight w:val="39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UU, Permenhut</w:t>
            </w:r>
            <w:r w:rsidRPr="00254400">
              <w:rPr>
                <w:rFonts w:ascii="Times New Roman" w:eastAsia="Times New Roman" w:hAnsi="Times New Roman" w:cs="Times New Roman"/>
                <w:b/>
                <w:bCs/>
                <w:color w:val="000000"/>
                <w:sz w:val="20"/>
                <w:szCs w:val="20"/>
                <w:lang w:eastAsia="id-ID"/>
              </w:rPr>
              <w:br/>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lastRenderedPageBreak/>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AIIIa1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Kejelasan tugas &amp; wewenang pengelolaan hutan &amp; lahan gambut</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 No 3 tahun 2004 Tetang RTRW;  Rencana  Pengelolaan kawasan Hutan Gambut Merang-Kepayang</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3</w:t>
            </w:r>
          </w:p>
        </w:tc>
      </w:tr>
      <w:tr w:rsidR="00254400" w:rsidRPr="00254400" w:rsidTr="00254400">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AIIIa2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Transparansi output tahunan dan capaian institusi</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DPA SKPD</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Dokumen Pelaksanaan Anggaran Satuan Kerja Tahun Anggaran 2010, 2011.2012 (Formulir DPA SKPD 2.2)</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3</w:t>
            </w:r>
          </w:p>
        </w:tc>
      </w:tr>
      <w:tr w:rsidR="00254400" w:rsidRPr="00254400" w:rsidTr="00254400">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AIIIa3</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Anggaran berbasis kinerja (Budget based on performance)</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DPA SKPD</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Dokumen Pelaksanaan Anggaran Satuan Kerja Tahun Anggaran 2010, 2011.2012 (Formulir DPA SKPD 2.2)</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3</w:t>
            </w:r>
          </w:p>
        </w:tc>
      </w:tr>
      <w:tr w:rsidR="00254400" w:rsidRPr="00254400" w:rsidTr="00254400">
        <w:trPr>
          <w:trHeight w:val="153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AIIIa4</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Desentralisasi (tugas &amp; wewenang) ke tingkat yang lebih rendah (disertai prinsip transparansi &amp; partisipasi)</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Perbup, Kpts dishut</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Peraturan Bupati Musi Banyu Asin N0 23 tahun 2010 tetang SOP Pada Kantor Pelayanan Terpadu Kabupaten MUBA; Keputusan Kepala Dinas Kehutanan Kabupaten Muba N0 043/Kpts/Dishut/2011 tentang Tatacara izin pemanfaatan kayu bulat/kayu bulat kecil dalam jumlah terbatas dari lahan hak atau lahan masyarakat</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2</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90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xml:space="preserve">: b. Keberadaan dan komprehensiveness aturan yang mengatur harmonisasi hukum dan kebijakan terkait dengan hutan dan lahan gambut </w:t>
            </w:r>
          </w:p>
        </w:tc>
      </w:tr>
      <w:tr w:rsidR="00254400" w:rsidRPr="00254400" w:rsidTr="00254400">
        <w:trPr>
          <w:trHeight w:val="39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:(permenkum-ham) Cek dibiro hukum prov/kab</w:t>
            </w:r>
            <w:r w:rsidRPr="00254400">
              <w:rPr>
                <w:rFonts w:ascii="Times New Roman" w:eastAsia="Times New Roman" w:hAnsi="Times New Roman" w:cs="Times New Roman"/>
                <w:b/>
                <w:bCs/>
                <w:color w:val="000000"/>
                <w:sz w:val="20"/>
                <w:szCs w:val="20"/>
                <w:lang w:eastAsia="id-ID"/>
              </w:rPr>
              <w:br/>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AIIIb1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Kejelasan lembaga yang bertanggung jawab</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 no 3 tahun 2004 tetnagn RTRW;  Rencana Pengelolaan Kawasan Hutan Gambut Merang-Kepayang</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3</w:t>
            </w:r>
          </w:p>
        </w:tc>
      </w:tr>
      <w:tr w:rsidR="00254400" w:rsidRPr="00254400" w:rsidTr="00254400">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AIIIb2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harmonisasi aturan sebelum diundangkan</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 no 3 tahun 2004 tetnagn RTRW;  Rencana Pengelolaan Kawasan Hutan Gambut Merang-Kepayang</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3</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90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xml:space="preserve">: c. Keberadaan dan komprehensiveness aturan yang mengatur pertimbangan integritas dan keahlian dalam posisi strategis di institusi yang bertanggungjawab terhadap kehutanan dan lahan gambut </w:t>
            </w:r>
          </w:p>
        </w:tc>
      </w:tr>
      <w:tr w:rsidR="00254400" w:rsidRPr="00254400" w:rsidTr="00254400">
        <w:trPr>
          <w:trHeight w:val="39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permenpan/SK Gub/Bup/Inpres 5/2004</w:t>
            </w:r>
            <w:r w:rsidRPr="00254400">
              <w:rPr>
                <w:rFonts w:ascii="Times New Roman" w:eastAsia="Times New Roman" w:hAnsi="Times New Roman" w:cs="Times New Roman"/>
                <w:b/>
                <w:bCs/>
                <w:color w:val="000000"/>
                <w:sz w:val="20"/>
                <w:szCs w:val="20"/>
                <w:lang w:eastAsia="id-ID"/>
              </w:rPr>
              <w:br/>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AIIIc1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Keterbukaan proses pengisian posisi strategis</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AIIIc2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Penilaian pihak ketiga (independen) dalam proses pemilihan SDM</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AIIIc3</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Life style checking dan kewajaran harta dengan bantuan PPATK </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AIIIc4</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Kewajiban verifikasi LHKPN dengan bantuan KPK</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AIIIc5</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Batasan Conflict of Interest &amp; mekanisme yang harus dilakukan</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AIIIc6</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Pembuatan pakta integritas, pemenuhan kode etik dan kontrak </w:t>
            </w:r>
            <w:r w:rsidRPr="00254400">
              <w:rPr>
                <w:rFonts w:ascii="Times New Roman" w:eastAsia="Times New Roman" w:hAnsi="Times New Roman" w:cs="Times New Roman"/>
                <w:color w:val="000000"/>
                <w:sz w:val="20"/>
                <w:szCs w:val="20"/>
                <w:lang w:eastAsia="id-ID"/>
              </w:rPr>
              <w:lastRenderedPageBreak/>
              <w:t>kinerja</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lastRenderedPageBreak/>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90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d. Keberadaan dan komprehensiveness aturan yang mengatur pelaksanaan penegakan hukum dalam pengelolaan hutan dan lahan gambut di tingkat Nasional/Propinsi/Kab secara efektif dan efisien serta tidak rentan korupsi</w:t>
            </w:r>
          </w:p>
        </w:tc>
      </w:tr>
      <w:tr w:rsidR="00254400" w:rsidRPr="00254400" w:rsidTr="00254400">
        <w:trPr>
          <w:trHeight w:val="345"/>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terkait dengan aturan lain, SK kemenhut/ kejaksaan/Kehakiman/KPK/PPATK, Kemenkeu</w:t>
            </w:r>
            <w:r w:rsidRPr="00254400">
              <w:rPr>
                <w:rFonts w:ascii="Times New Roman" w:eastAsia="Times New Roman" w:hAnsi="Times New Roman" w:cs="Times New Roman"/>
                <w:b/>
                <w:bCs/>
                <w:color w:val="000000"/>
                <w:sz w:val="20"/>
                <w:szCs w:val="20"/>
                <w:lang w:eastAsia="id-ID"/>
              </w:rPr>
              <w:br/>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AIIId1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Pembenahan case manage-ment sehingga menutup celah-celah abuse of power</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Tidak ada dokumen ditingkat kabupaten tentang ini dan informan juga tida jelas dengan pertanyaan ini</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AIIId2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Sistem pengawasan dan pen-disiplinan internal di lembaga penegak hukum</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 Perbup</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Perda No 6 tahun 2011 tetang Pengelolaan Hutan Produksi Kabuaten MUBA;  Keputusan Bupati Musi Banyu Asin No 325 tahun 2012 Tentang Pembentukan Tim Terpadu Pemberantasan Penebangan kayu secara Illegal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3</w:t>
            </w:r>
          </w:p>
        </w:tc>
      </w:tr>
      <w:tr w:rsidR="00254400" w:rsidRPr="00254400" w:rsidTr="00254400">
        <w:trPr>
          <w:trHeight w:val="280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AIIId3</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Peningkatan kapasitas aparat penegak hukum terkait isu-isu pengelolaan hutan dan lahan gambut secara lestari, kebijak-an Negara atas masyarakat adat, serta pemanfaatan instru-ment hukum lain seperti pajak, korupsi, dan anti pencucian uang untuk memberantas kejahatan kehutanan (multi-door approach);</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 Perbup</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Perda No 6 tahun 2011 tetang Pengelolaan Hutan Produksi Kabuaten MUBA;  Keputusan Bupati Musi Banyu Asin No 325 tahun 2012 Tentang Pembentukan Tim Terpadu Pemberantasan Penebangan kayu secara Illegal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3</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AIIId4</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Kewajiban koordinasi yang efektif antara aparat penegak hukum terkait dalam isu hutan dan lahan gambut dan penun-jukan leading sector yang jelas</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 keputusan bupati</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Perda No 6 tahun 2011 tetang Pengelolaan Hutan Produksi Kabuaten MUBA;  Keputusan Bupati Musi Banyu Asin No 325 tahun 2012 Tentang Pembentukan Tim Terpadu Pemberantasan Penebangan kayu secara Illegal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3</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AIIId5</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Pemenuhan rasio jumlah penegak hukum di bidang kehutanan dan lahan gambut</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 keputusan bupati</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Perda No 6 tahun 2011 tetang Pengelolaan Hutan Produksi Kabuaten MUBA;  Keputusan Bupati Musi Banyu Asin No 325 tahun 2012 Tentang Pembentukan Tim Terpadu Pemberantasan Penebangan kayu secara Illegal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3</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AIIId6</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insentif dan disinsentif untuk mencapai penaatan</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Perda, keputusan bupati</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Perda No 6 tahun 2011 tetang Pengelolaan Hutan Produksi Kabuaten MUBA;  Keputusan Bupati Musi Banyu Asin No 325 tahun 2012 Tentang Pembentukan Tim Terpadu Pemberantasan Penebangan kayu secara Illegal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2</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33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Isu dalam PGA REDD+</w:t>
            </w:r>
          </w:p>
        </w:tc>
        <w:tc>
          <w:tcPr>
            <w:tcW w:w="696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IV. Pengelolaan Hutan</w:t>
            </w: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90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xml:space="preserve">: a. Keberadaan dan komprehensiveness aturan yang mengatur kewajiban penyusunan rencana pengelolaan hutan secara berkeadilan dan obyektif </w:t>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AIVa1</w:t>
            </w:r>
          </w:p>
        </w:tc>
        <w:tc>
          <w:tcPr>
            <w:tcW w:w="2740" w:type="dxa"/>
            <w:vMerge w:val="restart"/>
            <w:tcBorders>
              <w:top w:val="nil"/>
              <w:left w:val="single" w:sz="4" w:space="0" w:color="auto"/>
              <w:bottom w:val="single" w:sz="4" w:space="0" w:color="000000"/>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sz w:val="20"/>
                <w:szCs w:val="20"/>
                <w:lang w:eastAsia="id-ID"/>
              </w:rPr>
            </w:pPr>
            <w:r w:rsidRPr="00254400">
              <w:rPr>
                <w:rFonts w:ascii="Times New Roman" w:eastAsia="Times New Roman" w:hAnsi="Times New Roman" w:cs="Times New Roman"/>
                <w:sz w:val="20"/>
                <w:szCs w:val="20"/>
                <w:lang w:eastAsia="id-ID"/>
              </w:rPr>
              <w:t xml:space="preserve">Tidak ada item data dari sumber awal </w:t>
            </w:r>
          </w:p>
        </w:tc>
        <w:tc>
          <w:tcPr>
            <w:tcW w:w="1540" w:type="dxa"/>
            <w:tcBorders>
              <w:top w:val="nil"/>
              <w:left w:val="nil"/>
              <w:bottom w:val="single" w:sz="4" w:space="0" w:color="auto"/>
              <w:right w:val="single" w:sz="4" w:space="0" w:color="auto"/>
            </w:tcBorders>
            <w:shd w:val="clear" w:color="000000" w:fill="FFFF00"/>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000000" w:fill="FFFF00"/>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1920" w:type="dxa"/>
            <w:tcBorders>
              <w:top w:val="nil"/>
              <w:left w:val="nil"/>
              <w:bottom w:val="single" w:sz="4" w:space="0" w:color="auto"/>
              <w:right w:val="single" w:sz="4" w:space="0" w:color="auto"/>
            </w:tcBorders>
            <w:shd w:val="clear" w:color="000000" w:fill="FFFF00"/>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r>
      <w:tr w:rsidR="00254400" w:rsidRPr="00254400" w:rsidTr="00254400">
        <w:trPr>
          <w:trHeight w:val="25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AIVa2</w:t>
            </w:r>
          </w:p>
        </w:tc>
        <w:tc>
          <w:tcPr>
            <w:tcW w:w="2740" w:type="dxa"/>
            <w:vMerge/>
            <w:tcBorders>
              <w:top w:val="nil"/>
              <w:left w:val="single" w:sz="4" w:space="0" w:color="auto"/>
              <w:bottom w:val="single" w:sz="4" w:space="0" w:color="000000"/>
              <w:right w:val="single" w:sz="4" w:space="0" w:color="auto"/>
            </w:tcBorders>
            <w:vAlign w:val="center"/>
            <w:hideMark/>
          </w:tcPr>
          <w:p w:rsidR="00254400" w:rsidRPr="00254400" w:rsidRDefault="00254400" w:rsidP="00254400">
            <w:pPr>
              <w:spacing w:after="0" w:line="240" w:lineRule="auto"/>
              <w:rPr>
                <w:rFonts w:ascii="Times New Roman" w:eastAsia="Times New Roman" w:hAnsi="Times New Roman" w:cs="Times New Roman"/>
                <w:sz w:val="20"/>
                <w:szCs w:val="20"/>
                <w:lang w:eastAsia="id-ID"/>
              </w:rPr>
            </w:pPr>
          </w:p>
        </w:tc>
        <w:tc>
          <w:tcPr>
            <w:tcW w:w="1540" w:type="dxa"/>
            <w:tcBorders>
              <w:top w:val="nil"/>
              <w:left w:val="nil"/>
              <w:bottom w:val="single" w:sz="4" w:space="0" w:color="auto"/>
              <w:right w:val="single" w:sz="4" w:space="0" w:color="auto"/>
            </w:tcBorders>
            <w:shd w:val="clear" w:color="000000" w:fill="FFFF00"/>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000000" w:fill="FFFF00"/>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1920" w:type="dxa"/>
            <w:tcBorders>
              <w:top w:val="nil"/>
              <w:left w:val="nil"/>
              <w:bottom w:val="single" w:sz="4" w:space="0" w:color="auto"/>
              <w:right w:val="single" w:sz="4" w:space="0" w:color="auto"/>
            </w:tcBorders>
            <w:shd w:val="clear" w:color="000000" w:fill="FFFF00"/>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675"/>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b. Keberadaan dan komprehensiveness aturan yang mengatur transparansi pengelolaan hutan dan lahan gambut</w:t>
            </w:r>
          </w:p>
        </w:tc>
      </w:tr>
      <w:tr w:rsidR="00254400" w:rsidRPr="00254400" w:rsidTr="00254400">
        <w:trPr>
          <w:trHeight w:val="39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SK Menhut/pertanian/ SK/perda-Gub/Bup</w:t>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AIVb1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Kewajiban menyediakan seluruh informasi dalam kaitannya dengan pengelolaan hutan secara sistematis sehingga mudah diakses</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AIVb2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Mewajibkan agar Badan Publik memiliki petugas khusus yang menangani permintaan informasi</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AIVb3</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AIVb4</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Terdapat pengumuman informasi tentang rencana kegiatan/proyek yang disertai dengan dokumen pendukungnya</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AIVb5</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AIVb6</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Sanksi bagi pihak-pihak yang sengaja menghambat akses publik atas informasi</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78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xml:space="preserve">: c. Keberadaan dan komprehensiveness aturan yang mengatur keterlibatan pemangku kepentingan dalam pengelolaan hutan dan lahan gambut yang  berarti </w:t>
            </w:r>
          </w:p>
        </w:tc>
      </w:tr>
      <w:tr w:rsidR="00254400" w:rsidRPr="00254400" w:rsidTr="00254400">
        <w:trPr>
          <w:trHeight w:val="39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SK Menhut/Pertanian, SK/Perda-Gub/Bup</w:t>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AIVc1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Informasi rencana pemberian izin/pelaksanaan lelang kepada seluruh pihak yg memiliki hak serta pihak yg berkepentingan</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Perbup</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Peraturan Bupati Musi Banyu Asin No 23 Tahun 2010 tentang SOP Pada Kantor Pelayanan Terpadu Kabupaten Musi Banyu Asin</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3</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AIVc2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Perbup</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Peraturan Bupati Musi Banyu Asin No 23 Tahun 2010 tentang SOP Pada Kantor Pelayanan Terpadu Kabupaten Musi Banyu Asin</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2</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AIVc3</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Penunjukan satu petugas khusus yang bertanggungjawab mengelola masukan publik dalam proses pemberian </w:t>
            </w:r>
            <w:r w:rsidRPr="00254400">
              <w:rPr>
                <w:rFonts w:ascii="Times New Roman" w:eastAsia="Times New Roman" w:hAnsi="Times New Roman" w:cs="Times New Roman"/>
                <w:color w:val="000000"/>
                <w:sz w:val="20"/>
                <w:szCs w:val="20"/>
                <w:lang w:eastAsia="id-ID"/>
              </w:rPr>
              <w:lastRenderedPageBreak/>
              <w:t>izin/pelaksanaan lelang</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lastRenderedPageBreak/>
              <w:t>Perbup</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Peraturan Bupati Musi Banyu Asin No 23 Tahun 2010 tentang SOP Pada Kantor Pelayanan Terpadu Kabupaten Musi Banyu Asin</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2</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lastRenderedPageBreak/>
              <w:t>AIVc4</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Dokumentasi setiap masukan baik yang tertulis ataupun tidak</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Tidak ada dokumen khusus yang mengatur hal ini, dari wawancara diinformasikan bahwa masukan dapat disampaikan dalam rapat pertemuan pada instansi terkait dam biasanya di fasilitasi oleh Bappeda</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AIVc5</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Pemberian respon yang bersifat terbuka atas setiap masukan yang ada</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Tidak ada dokumen khusus yang mengatur hal ini, dari wawancara diinformasikan bahwa masukan dapat disampaikan dalam rapat pertemuan pada instansi terkait dam biasanya di fasilitasi oleh Bappeda</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AIVc6</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Pemberian penjelasan atas keputusan akhir yang diambil</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Tidak ada dokumen khusus yang mengatur hal ini, dari wawancara diinformasikan bahwa masukan dapat disampaikan dalam rapat pertemuan pada instansi terkait dam biasanya di fasilitasi oleh Bappeda</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675"/>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d. Keberadaan dan komprehensiveness aturan yang mengatur mekanisme pemberian izin pengelolaan hutan yang efisien</w:t>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25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AIVd1</w:t>
            </w:r>
          </w:p>
        </w:tc>
        <w:tc>
          <w:tcPr>
            <w:tcW w:w="2740" w:type="dxa"/>
            <w:vMerge w:val="restart"/>
            <w:tcBorders>
              <w:top w:val="nil"/>
              <w:left w:val="single" w:sz="4" w:space="0" w:color="auto"/>
              <w:bottom w:val="single" w:sz="4" w:space="0" w:color="000000"/>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sz w:val="20"/>
                <w:szCs w:val="20"/>
                <w:lang w:eastAsia="id-ID"/>
              </w:rPr>
            </w:pPr>
            <w:r w:rsidRPr="00254400">
              <w:rPr>
                <w:rFonts w:ascii="Times New Roman" w:eastAsia="Times New Roman" w:hAnsi="Times New Roman" w:cs="Times New Roman"/>
                <w:sz w:val="20"/>
                <w:szCs w:val="20"/>
                <w:lang w:eastAsia="id-ID"/>
              </w:rPr>
              <w:t xml:space="preserve">Tidak ada item data dari sumber awal </w:t>
            </w:r>
          </w:p>
        </w:tc>
        <w:tc>
          <w:tcPr>
            <w:tcW w:w="1540" w:type="dxa"/>
            <w:tcBorders>
              <w:top w:val="nil"/>
              <w:left w:val="nil"/>
              <w:bottom w:val="single" w:sz="4" w:space="0" w:color="auto"/>
              <w:right w:val="single" w:sz="4" w:space="0" w:color="auto"/>
            </w:tcBorders>
            <w:shd w:val="clear" w:color="000000" w:fill="FFFF00"/>
            <w:vAlign w:val="center"/>
            <w:hideMark/>
          </w:tcPr>
          <w:p w:rsidR="00254400" w:rsidRPr="00254400" w:rsidRDefault="00254400" w:rsidP="00254400">
            <w:pPr>
              <w:spacing w:after="0" w:line="240" w:lineRule="auto"/>
              <w:jc w:val="center"/>
              <w:rPr>
                <w:rFonts w:ascii="Times New Roman" w:eastAsia="Times New Roman" w:hAnsi="Times New Roman" w:cs="Times New Roman"/>
                <w:sz w:val="20"/>
                <w:szCs w:val="20"/>
                <w:lang w:eastAsia="id-ID"/>
              </w:rPr>
            </w:pPr>
            <w:r w:rsidRPr="00254400">
              <w:rPr>
                <w:rFonts w:ascii="Times New Roman" w:eastAsia="Times New Roman" w:hAnsi="Times New Roman" w:cs="Times New Roman"/>
                <w:sz w:val="20"/>
                <w:szCs w:val="20"/>
                <w:lang w:eastAsia="id-ID"/>
              </w:rPr>
              <w:t> </w:t>
            </w:r>
          </w:p>
        </w:tc>
        <w:tc>
          <w:tcPr>
            <w:tcW w:w="5420" w:type="dxa"/>
            <w:tcBorders>
              <w:top w:val="nil"/>
              <w:left w:val="nil"/>
              <w:bottom w:val="single" w:sz="4" w:space="0" w:color="auto"/>
              <w:right w:val="single" w:sz="4" w:space="0" w:color="auto"/>
            </w:tcBorders>
            <w:shd w:val="clear" w:color="000000" w:fill="FFFF00"/>
            <w:vAlign w:val="center"/>
            <w:hideMark/>
          </w:tcPr>
          <w:p w:rsidR="00254400" w:rsidRPr="00254400" w:rsidRDefault="00254400" w:rsidP="00254400">
            <w:pPr>
              <w:spacing w:after="0" w:line="240" w:lineRule="auto"/>
              <w:rPr>
                <w:rFonts w:ascii="Times New Roman" w:eastAsia="Times New Roman" w:hAnsi="Times New Roman" w:cs="Times New Roman"/>
                <w:sz w:val="20"/>
                <w:szCs w:val="20"/>
                <w:lang w:eastAsia="id-ID"/>
              </w:rPr>
            </w:pPr>
            <w:r w:rsidRPr="00254400">
              <w:rPr>
                <w:rFonts w:ascii="Times New Roman" w:eastAsia="Times New Roman" w:hAnsi="Times New Roman" w:cs="Times New Roman"/>
                <w:sz w:val="20"/>
                <w:szCs w:val="20"/>
                <w:lang w:eastAsia="id-ID"/>
              </w:rPr>
              <w:t> </w:t>
            </w:r>
          </w:p>
        </w:tc>
        <w:tc>
          <w:tcPr>
            <w:tcW w:w="1920" w:type="dxa"/>
            <w:tcBorders>
              <w:top w:val="nil"/>
              <w:left w:val="nil"/>
              <w:bottom w:val="single" w:sz="4" w:space="0" w:color="auto"/>
              <w:right w:val="single" w:sz="4" w:space="0" w:color="auto"/>
            </w:tcBorders>
            <w:shd w:val="clear" w:color="000000" w:fill="FFFF00"/>
            <w:noWrap/>
            <w:vAlign w:val="center"/>
            <w:hideMark/>
          </w:tcPr>
          <w:p w:rsidR="00254400" w:rsidRPr="00254400" w:rsidRDefault="00254400" w:rsidP="00254400">
            <w:pPr>
              <w:spacing w:after="0" w:line="240" w:lineRule="auto"/>
              <w:jc w:val="center"/>
              <w:rPr>
                <w:rFonts w:ascii="Times New Roman" w:eastAsia="Times New Roman" w:hAnsi="Times New Roman" w:cs="Times New Roman"/>
                <w:sz w:val="20"/>
                <w:szCs w:val="20"/>
                <w:lang w:eastAsia="id-ID"/>
              </w:rPr>
            </w:pPr>
            <w:r w:rsidRPr="00254400">
              <w:rPr>
                <w:rFonts w:ascii="Times New Roman" w:eastAsia="Times New Roman" w:hAnsi="Times New Roman" w:cs="Times New Roman"/>
                <w:sz w:val="20"/>
                <w:szCs w:val="20"/>
                <w:lang w:eastAsia="id-ID"/>
              </w:rPr>
              <w:t> </w:t>
            </w:r>
          </w:p>
        </w:tc>
      </w:tr>
      <w:tr w:rsidR="00254400" w:rsidRPr="00254400" w:rsidTr="00254400">
        <w:trPr>
          <w:trHeight w:val="25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AIVd2</w:t>
            </w:r>
          </w:p>
        </w:tc>
        <w:tc>
          <w:tcPr>
            <w:tcW w:w="2740" w:type="dxa"/>
            <w:vMerge/>
            <w:tcBorders>
              <w:top w:val="nil"/>
              <w:left w:val="single" w:sz="4" w:space="0" w:color="auto"/>
              <w:bottom w:val="single" w:sz="4" w:space="0" w:color="000000"/>
              <w:right w:val="single" w:sz="4" w:space="0" w:color="auto"/>
            </w:tcBorders>
            <w:vAlign w:val="center"/>
            <w:hideMark/>
          </w:tcPr>
          <w:p w:rsidR="00254400" w:rsidRPr="00254400" w:rsidRDefault="00254400" w:rsidP="00254400">
            <w:pPr>
              <w:spacing w:after="0" w:line="240" w:lineRule="auto"/>
              <w:rPr>
                <w:rFonts w:ascii="Times New Roman" w:eastAsia="Times New Roman" w:hAnsi="Times New Roman" w:cs="Times New Roman"/>
                <w:sz w:val="20"/>
                <w:szCs w:val="20"/>
                <w:lang w:eastAsia="id-ID"/>
              </w:rPr>
            </w:pPr>
          </w:p>
        </w:tc>
        <w:tc>
          <w:tcPr>
            <w:tcW w:w="1540" w:type="dxa"/>
            <w:tcBorders>
              <w:top w:val="nil"/>
              <w:left w:val="nil"/>
              <w:bottom w:val="single" w:sz="4" w:space="0" w:color="auto"/>
              <w:right w:val="single" w:sz="4" w:space="0" w:color="auto"/>
            </w:tcBorders>
            <w:shd w:val="clear" w:color="000000" w:fill="FFFF00"/>
            <w:vAlign w:val="center"/>
            <w:hideMark/>
          </w:tcPr>
          <w:p w:rsidR="00254400" w:rsidRPr="00254400" w:rsidRDefault="00254400" w:rsidP="00254400">
            <w:pPr>
              <w:spacing w:after="0" w:line="240" w:lineRule="auto"/>
              <w:jc w:val="center"/>
              <w:rPr>
                <w:rFonts w:ascii="Times New Roman" w:eastAsia="Times New Roman" w:hAnsi="Times New Roman" w:cs="Times New Roman"/>
                <w:sz w:val="20"/>
                <w:szCs w:val="20"/>
                <w:lang w:eastAsia="id-ID"/>
              </w:rPr>
            </w:pPr>
            <w:r w:rsidRPr="00254400">
              <w:rPr>
                <w:rFonts w:ascii="Times New Roman" w:eastAsia="Times New Roman" w:hAnsi="Times New Roman" w:cs="Times New Roman"/>
                <w:sz w:val="20"/>
                <w:szCs w:val="20"/>
                <w:lang w:eastAsia="id-ID"/>
              </w:rPr>
              <w:t> </w:t>
            </w:r>
          </w:p>
        </w:tc>
        <w:tc>
          <w:tcPr>
            <w:tcW w:w="5420" w:type="dxa"/>
            <w:tcBorders>
              <w:top w:val="nil"/>
              <w:left w:val="nil"/>
              <w:bottom w:val="single" w:sz="4" w:space="0" w:color="auto"/>
              <w:right w:val="single" w:sz="4" w:space="0" w:color="auto"/>
            </w:tcBorders>
            <w:shd w:val="clear" w:color="000000" w:fill="FFFF00"/>
            <w:vAlign w:val="center"/>
            <w:hideMark/>
          </w:tcPr>
          <w:p w:rsidR="00254400" w:rsidRPr="00254400" w:rsidRDefault="00254400" w:rsidP="00254400">
            <w:pPr>
              <w:spacing w:after="0" w:line="240" w:lineRule="auto"/>
              <w:rPr>
                <w:rFonts w:ascii="Times New Roman" w:eastAsia="Times New Roman" w:hAnsi="Times New Roman" w:cs="Times New Roman"/>
                <w:sz w:val="20"/>
                <w:szCs w:val="20"/>
                <w:lang w:eastAsia="id-ID"/>
              </w:rPr>
            </w:pPr>
            <w:r w:rsidRPr="00254400">
              <w:rPr>
                <w:rFonts w:ascii="Times New Roman" w:eastAsia="Times New Roman" w:hAnsi="Times New Roman" w:cs="Times New Roman"/>
                <w:sz w:val="20"/>
                <w:szCs w:val="20"/>
                <w:lang w:eastAsia="id-ID"/>
              </w:rPr>
              <w:t> </w:t>
            </w:r>
          </w:p>
        </w:tc>
        <w:tc>
          <w:tcPr>
            <w:tcW w:w="1920" w:type="dxa"/>
            <w:tcBorders>
              <w:top w:val="nil"/>
              <w:left w:val="nil"/>
              <w:bottom w:val="single" w:sz="4" w:space="0" w:color="auto"/>
              <w:right w:val="single" w:sz="4" w:space="0" w:color="auto"/>
            </w:tcBorders>
            <w:shd w:val="clear" w:color="000000" w:fill="FFFF00"/>
            <w:noWrap/>
            <w:vAlign w:val="center"/>
            <w:hideMark/>
          </w:tcPr>
          <w:p w:rsidR="00254400" w:rsidRPr="00254400" w:rsidRDefault="00254400" w:rsidP="00254400">
            <w:pPr>
              <w:spacing w:after="0" w:line="240" w:lineRule="auto"/>
              <w:jc w:val="center"/>
              <w:rPr>
                <w:rFonts w:ascii="Times New Roman" w:eastAsia="Times New Roman" w:hAnsi="Times New Roman" w:cs="Times New Roman"/>
                <w:sz w:val="20"/>
                <w:szCs w:val="20"/>
                <w:lang w:eastAsia="id-ID"/>
              </w:rPr>
            </w:pPr>
            <w:r w:rsidRPr="00254400">
              <w:rPr>
                <w:rFonts w:ascii="Times New Roman" w:eastAsia="Times New Roman" w:hAnsi="Times New Roman" w:cs="Times New Roman"/>
                <w:sz w:val="20"/>
                <w:szCs w:val="20"/>
                <w:lang w:eastAsia="id-ID"/>
              </w:rPr>
              <w:t> </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54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e. Keberadaan dan komprehensiveness aturan yang mengatur mekanisme penanganan pengaduan dalam konflik pengelolaan hutan dan lahan gambut</w:t>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AIVe1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pengaduan (sederhana, kejelasan tenggat waktu &amp; tindakan yang telah diambil)</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AIVe2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resolusi konflik dan penyelesaian sengketa</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AIVe3</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Mediator memiliki keahlian dan pemahaman tentang isu-isu adat/masyarakat lokal</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AIVe4</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33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Isu dalam PGA REDD+</w:t>
            </w:r>
          </w:p>
        </w:tc>
        <w:tc>
          <w:tcPr>
            <w:tcW w:w="696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V. Pengorganisasian Hutan</w:t>
            </w: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63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a. Keberadaan dan komprehensiveness aturan yang mengatur transparansi pengendalian dan penegakan hukum dalam pengelolaan hutan</w:t>
            </w:r>
          </w:p>
        </w:tc>
      </w:tr>
      <w:tr w:rsidR="00254400" w:rsidRPr="00254400" w:rsidTr="00254400">
        <w:trPr>
          <w:trHeight w:val="39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SK Menhut/Gub/Bu</w:t>
            </w:r>
            <w:r w:rsidRPr="00254400">
              <w:rPr>
                <w:rFonts w:ascii="Times New Roman" w:eastAsia="Times New Roman" w:hAnsi="Times New Roman" w:cs="Times New Roman"/>
                <w:b/>
                <w:bCs/>
                <w:color w:val="000000"/>
                <w:sz w:val="20"/>
                <w:szCs w:val="20"/>
                <w:lang w:eastAsia="id-ID"/>
              </w:rPr>
              <w:br/>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lastRenderedPageBreak/>
              <w:t>AVa1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Ketersediaan seluruh informasi secara sistematis dalam kaitannya dengan pengawasan internal dan eksternal</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53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AVa2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Terdapat aturan yang mewajibkan pemberian akses bagi publik baik secara proaktif maupun berdasarkan permintaan dalam tahap pengawasan</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AVa3</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AVa4</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Terdapat sanksi bagi pihak-pihak yg sengaja menghambat akses publik atas informasi</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69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b. Keberadaan dan komprehensiveness aturan yang mengatur pengawasan yang berintegritas dan partisipatif dalam pengelolaan hutan</w:t>
            </w:r>
          </w:p>
        </w:tc>
      </w:tr>
      <w:tr w:rsidR="00254400" w:rsidRPr="00254400" w:rsidTr="00254400">
        <w:trPr>
          <w:trHeight w:val="39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Per/SK menhut/Gub/Bup</w:t>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AVb1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Informasi pelaksanaan kegiatan untuk memperjelas masukan publik atas suatu kasus</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AVb2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penerimaan pengaduan memudahkan bagi seluruh pihak (termasuk competitors) untuk menyampaikan pengaduan</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Tidak ada Dokumen</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AVb3</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Dokumentasi setiap laporan pengaduan baik yang tertulis ataupun tidak</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AVb4</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penerimaan pengaduan memiliki jangka waktu yang jelas atas respon yang akan diberikan</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AVb5</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Mekanisme penerimaan pengaduan menawarkan kemudahan dan kejelasan pihak yang dikontak </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AVb6</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Penunjukan satu petugas khusus yang bertanggungjawab mengelola masukan publik dalam proses pengawasan</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69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xml:space="preserve">: c. Keberadaan dan komprehensiveness aturan yang mengatur program peningkatan kapasitas masyarakat dalam pengawasan pengelolaan hutan dan lahan gambut  </w:t>
            </w:r>
            <w:r w:rsidRPr="00254400">
              <w:rPr>
                <w:rFonts w:ascii="Times New Roman" w:eastAsia="Times New Roman" w:hAnsi="Times New Roman" w:cs="Times New Roman"/>
                <w:b/>
                <w:bCs/>
                <w:color w:val="000000"/>
                <w:sz w:val="20"/>
                <w:szCs w:val="20"/>
                <w:lang w:eastAsia="id-ID"/>
              </w:rPr>
              <w:br/>
            </w:r>
            <w:r w:rsidRPr="00254400">
              <w:rPr>
                <w:rFonts w:ascii="Times New Roman" w:eastAsia="Times New Roman" w:hAnsi="Times New Roman" w:cs="Times New Roman"/>
                <w:b/>
                <w:bCs/>
                <w:color w:val="000000"/>
                <w:sz w:val="20"/>
                <w:szCs w:val="20"/>
                <w:lang w:eastAsia="id-ID"/>
              </w:rPr>
              <w:br/>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lastRenderedPageBreak/>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AVc1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Program pemerintah daerah dalam meningkatkan kapasitas masyarakat adat/lokal untuk turut berpartisipasi dalam proses pengawasan</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AVc2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Program pemerintahan yang lebih tinggi untuk meningkat-kan kapasitas pemerintahan yang lebih rendah dalam melakukan pengawasan</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69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d. Keberadaan dan komprehensiveness aturan yang mengatur mekanisme penindaklanjutan temuan penyelewengan/indikasi korupsi yang responsif</w:t>
            </w:r>
            <w:r w:rsidRPr="00254400">
              <w:rPr>
                <w:rFonts w:ascii="Times New Roman" w:eastAsia="Times New Roman" w:hAnsi="Times New Roman" w:cs="Times New Roman"/>
                <w:b/>
                <w:bCs/>
                <w:color w:val="000000"/>
                <w:sz w:val="20"/>
                <w:szCs w:val="20"/>
                <w:lang w:eastAsia="id-ID"/>
              </w:rPr>
              <w:br/>
            </w:r>
            <w:r w:rsidRPr="00254400">
              <w:rPr>
                <w:rFonts w:ascii="Times New Roman" w:eastAsia="Times New Roman" w:hAnsi="Times New Roman" w:cs="Times New Roman"/>
                <w:b/>
                <w:bCs/>
                <w:color w:val="000000"/>
                <w:sz w:val="20"/>
                <w:szCs w:val="20"/>
                <w:lang w:eastAsia="id-ID"/>
              </w:rPr>
              <w:br/>
            </w:r>
            <w:r w:rsidRPr="00254400">
              <w:rPr>
                <w:rFonts w:ascii="Times New Roman" w:eastAsia="Times New Roman" w:hAnsi="Times New Roman" w:cs="Times New Roman"/>
                <w:b/>
                <w:bCs/>
                <w:color w:val="000000"/>
                <w:sz w:val="20"/>
                <w:szCs w:val="20"/>
                <w:lang w:eastAsia="id-ID"/>
              </w:rPr>
              <w:br/>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AVd1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Pelaksanaan perbaikan sistem secara partisipatif dari rekomendasi BPK dan KPK</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69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e. Keberadaan dan komprehensiveness aturan yang mengatur mekanisme multi door approach dalam penyelesaian kasus-kasus kejahatan kehutanan</w:t>
            </w:r>
            <w:r w:rsidRPr="00254400">
              <w:rPr>
                <w:rFonts w:ascii="Times New Roman" w:eastAsia="Times New Roman" w:hAnsi="Times New Roman" w:cs="Times New Roman"/>
                <w:b/>
                <w:bCs/>
                <w:color w:val="000000"/>
                <w:sz w:val="20"/>
                <w:szCs w:val="20"/>
                <w:lang w:eastAsia="id-ID"/>
              </w:rPr>
              <w:br/>
            </w:r>
            <w:r w:rsidRPr="00254400">
              <w:rPr>
                <w:rFonts w:ascii="Times New Roman" w:eastAsia="Times New Roman" w:hAnsi="Times New Roman" w:cs="Times New Roman"/>
                <w:b/>
                <w:bCs/>
                <w:color w:val="000000"/>
                <w:sz w:val="20"/>
                <w:szCs w:val="20"/>
                <w:lang w:eastAsia="id-ID"/>
              </w:rPr>
              <w:br/>
            </w:r>
            <w:r w:rsidRPr="00254400">
              <w:rPr>
                <w:rFonts w:ascii="Times New Roman" w:eastAsia="Times New Roman" w:hAnsi="Times New Roman" w:cs="Times New Roman"/>
                <w:b/>
                <w:bCs/>
                <w:color w:val="000000"/>
                <w:sz w:val="20"/>
                <w:szCs w:val="20"/>
                <w:lang w:eastAsia="id-ID"/>
              </w:rPr>
              <w:br/>
            </w:r>
            <w:r w:rsidRPr="00254400">
              <w:rPr>
                <w:rFonts w:ascii="Times New Roman" w:eastAsia="Times New Roman" w:hAnsi="Times New Roman" w:cs="Times New Roman"/>
                <w:b/>
                <w:bCs/>
                <w:color w:val="000000"/>
                <w:sz w:val="20"/>
                <w:szCs w:val="20"/>
                <w:lang w:eastAsia="id-ID"/>
              </w:rPr>
              <w:br/>
            </w:r>
          </w:p>
        </w:tc>
      </w:tr>
      <w:tr w:rsidR="00254400" w:rsidRPr="00254400" w:rsidTr="00254400">
        <w:trPr>
          <w:trHeight w:val="39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aturan KLH-kehutanan (satgas illegal loging)</w:t>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AVe1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Pendekatan multi-door ap-proach antara lain terdiri dari pendekatan pidana korupsi, anti money laundering, pidana pajak, dan pidana lingkungan hidup</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perda/perbup/aturan hukum lainnya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33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Isu dalam PGA REDD+</w:t>
            </w:r>
          </w:p>
        </w:tc>
        <w:tc>
          <w:tcPr>
            <w:tcW w:w="696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IV. Infrastruktur REDD+</w:t>
            </w: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60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a. Keberadaan dan komprehensiveness aturan yang mengatur transparansi dalam pengembangan kebijakan dan kelembagaan REDD+</w:t>
            </w:r>
          </w:p>
        </w:tc>
      </w:tr>
      <w:tr w:rsidR="00254400" w:rsidRPr="00254400" w:rsidTr="00254400">
        <w:trPr>
          <w:trHeight w:val="39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(UKP4, Permenhut, Perda/SK Gub/Bup)</w:t>
            </w:r>
            <w:r w:rsidRPr="00254400">
              <w:rPr>
                <w:rFonts w:ascii="Times New Roman" w:eastAsia="Times New Roman" w:hAnsi="Times New Roman" w:cs="Times New Roman"/>
                <w:b/>
                <w:bCs/>
                <w:color w:val="000000"/>
                <w:sz w:val="20"/>
                <w:szCs w:val="20"/>
                <w:lang w:eastAsia="id-ID"/>
              </w:rPr>
              <w:br/>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AVIa1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Ketersediaan seluruh informasi dalam kaitannya dengan proses pembentukan infrastruktur, pelaksanaan dan pengawasan REDD+</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lastRenderedPageBreak/>
              <w:t>AVIa2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Kewajiban agar Badan Publik memiliki petugas khusus yang menangani permintaan informasi publik</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AVIa3</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Pemberian akses bagi publik baik secara proaktif maupun berdasarkan permintaan</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AVIa4</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AVIa5</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Sanksi bagi pihak-pihak yang sengaja menghambat akses publik atas informasi</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57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b. Keberadaan dan komprehensiveness aturan yang mengatur penyusunan kebijakan dan kelembagaan REDD+ yang obyektif dan transparan</w:t>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153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AVIb1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Penyampaian informasi atas rencana pembentukan peraturan/kebijakan terkait REDD+ kepada seluruh pihak yg memiliki hak serta pihak yg berkepentingan</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AVIb2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AVIb3</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Penunjukan satu petugas khusus yang bertanggungjawab mengelola masukan publik dalam proses pembentukan kebijakan terkait REDD+;</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AVIb4</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Dokumentasi setiap masukan baik yang tertulis ataupun tidak</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512"/>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AVIb5</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Pemberian respon yang bersifat terbuka atas setiap masukan yang ada (metode umpan balik)</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51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AVIb6</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Penjelasan atas keputusan akhir yang diambil</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AVIb7</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Pelaksanakan seluruh proses partisipasi dalam waktu yang cukup, (minimum 45 hari kerja)</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63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lastRenderedPageBreak/>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xml:space="preserve">: c. Keberadaan dan komprehensiveness aturan yang mengatur mekanisme penanganan pengaduan masyarakat dalam proses pengembangan kebijakan dan kelembagaan REDD+ </w:t>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229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AVIc1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pengaduan masyarakat yang memudahkan bagi seluruh pihak (termasuk competitors) untuk menyampaikan pengaduan dan mendapatkan kejelasan tindakan yang telah diambil atas pengaduan yang disampaikan dalam jangka waktu yang jelas</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AVIc2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resolusi konflik dan penyelesaian sengketa melalui jalur perundingan apabila terdapat perbedaan pandangan yg tajam atas suatu hal</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AVIc3</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Jasa mediator yang memiliki keahlian dan pemahaman tentang isu-isu adat</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93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xml:space="preserve">: d. Keberadaan dan komprehensiveness aturan yang mengatur program peningkatan kapasitas aparat pemerintah dan masyarakat dalam penyiapan pengembangan kebijakan dan kelembagaan REDD+  </w:t>
            </w:r>
            <w:r w:rsidRPr="00254400">
              <w:rPr>
                <w:rFonts w:ascii="Times New Roman" w:eastAsia="Times New Roman" w:hAnsi="Times New Roman" w:cs="Times New Roman"/>
                <w:b/>
                <w:bCs/>
                <w:color w:val="000000"/>
                <w:sz w:val="20"/>
                <w:szCs w:val="20"/>
                <w:lang w:eastAsia="id-ID"/>
              </w:rPr>
              <w:br/>
              <w:t xml:space="preserve"> </w:t>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AVId1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Program untuk meningkatkan kapasitas masyarakat adat/lokal untuk untuk memahami REDD+ serta pilihan-pilihan kebijakan yang ada</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AVId2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Program untuk peningkatan kapasitas pemerintahan yang lebih rendah untuk memahami REDD+ serta pilihan-pilihan kebijakan yang ada</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60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xml:space="preserve">: e. Keberadaan dan komprehensiveness aturan yang mengatur mekanisme tindak lanjut temuan penyelewengan/indikasi korupsi kegiatan REDD+ yang responsif </w:t>
            </w:r>
            <w:r w:rsidRPr="00254400">
              <w:rPr>
                <w:rFonts w:ascii="Times New Roman" w:eastAsia="Times New Roman" w:hAnsi="Times New Roman" w:cs="Times New Roman"/>
                <w:b/>
                <w:bCs/>
                <w:color w:val="000000"/>
                <w:sz w:val="20"/>
                <w:szCs w:val="20"/>
                <w:lang w:eastAsia="id-ID"/>
              </w:rPr>
              <w:br/>
              <w:t xml:space="preserve"> </w:t>
            </w:r>
            <w:r w:rsidRPr="00254400">
              <w:rPr>
                <w:rFonts w:ascii="Times New Roman" w:eastAsia="Times New Roman" w:hAnsi="Times New Roman" w:cs="Times New Roman"/>
                <w:b/>
                <w:bCs/>
                <w:color w:val="000000"/>
                <w:sz w:val="20"/>
                <w:szCs w:val="20"/>
                <w:lang w:eastAsia="id-ID"/>
              </w:rPr>
              <w:br/>
              <w:t xml:space="preserve"> </w:t>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AVIe1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Pelaksanaan perbaikan sistem berdasarkan rekomendasi BPK secara partisipatif</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630"/>
        </w:trPr>
        <w:tc>
          <w:tcPr>
            <w:tcW w:w="3500" w:type="dxa"/>
            <w:gridSpan w:val="2"/>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vAlign w:val="center"/>
            <w:hideMark/>
          </w:tcPr>
          <w:p w:rsidR="00254400" w:rsidRPr="00254400" w:rsidRDefault="00254400" w:rsidP="00254400">
            <w:pPr>
              <w:spacing w:after="240" w:line="240" w:lineRule="auto"/>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 f. Keberadaan dan komprehensiveness aturan yang mengatur mekanisme penanganan pengaduan dalam konflik terkait dengan kegiatan REDD+</w:t>
            </w:r>
            <w:r w:rsidRPr="00254400">
              <w:rPr>
                <w:rFonts w:ascii="Times New Roman" w:eastAsia="Times New Roman" w:hAnsi="Times New Roman" w:cs="Times New Roman"/>
                <w:b/>
                <w:bCs/>
                <w:color w:val="000000"/>
                <w:sz w:val="20"/>
                <w:szCs w:val="20"/>
                <w:lang w:eastAsia="id-ID"/>
              </w:rPr>
              <w:br/>
            </w:r>
            <w:r w:rsidRPr="00254400">
              <w:rPr>
                <w:rFonts w:ascii="Times New Roman" w:eastAsia="Times New Roman" w:hAnsi="Times New Roman" w:cs="Times New Roman"/>
                <w:b/>
                <w:bCs/>
                <w:color w:val="000000"/>
                <w:sz w:val="20"/>
                <w:szCs w:val="20"/>
                <w:lang w:eastAsia="id-ID"/>
              </w:rPr>
              <w:lastRenderedPageBreak/>
              <w:t xml:space="preserve"> </w:t>
            </w:r>
          </w:p>
        </w:tc>
      </w:tr>
      <w:tr w:rsidR="00254400" w:rsidRPr="00254400" w:rsidTr="00254400">
        <w:trPr>
          <w:trHeight w:val="25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lastRenderedPageBreak/>
              <w:t>Kode</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b/>
                <w:bCs/>
                <w:color w:val="000000"/>
                <w:sz w:val="20"/>
                <w:szCs w:val="20"/>
                <w:lang w:eastAsia="id-ID"/>
              </w:rPr>
            </w:pPr>
            <w:r w:rsidRPr="00254400">
              <w:rPr>
                <w:rFonts w:ascii="Times New Roman" w:eastAsia="Times New Roman" w:hAnsi="Times New Roman" w:cs="Times New Roman"/>
                <w:b/>
                <w:bCs/>
                <w:color w:val="000000"/>
                <w:sz w:val="20"/>
                <w:szCs w:val="20"/>
                <w:lang w:eastAsia="id-ID"/>
              </w:rPr>
              <w:t>Kategori Data</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AVIf1</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pengaduan yang sederhana, memilik tenggat waktu yang jelas serta kejelasan tindakan yang telah diambil</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76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AVIf2</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resolusi konflik dan penyelesaian sengketa melalui jalur perundingan</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2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AVIf3</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Mewajibkan mediator yang disediakan untuk memiliki keahlian dan pemahaman tentang isu-isu adat/masyarakat lokal</w:t>
            </w:r>
          </w:p>
        </w:tc>
        <w:tc>
          <w:tcPr>
            <w:tcW w:w="15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102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AVIf4</w:t>
            </w:r>
          </w:p>
        </w:tc>
        <w:tc>
          <w:tcPr>
            <w:tcW w:w="274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54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tidak ada dokumennya </w:t>
            </w:r>
          </w:p>
        </w:tc>
        <w:tc>
          <w:tcPr>
            <w:tcW w:w="1920" w:type="dxa"/>
            <w:tcBorders>
              <w:top w:val="nil"/>
              <w:left w:val="nil"/>
              <w:bottom w:val="single" w:sz="4" w:space="0" w:color="auto"/>
              <w:right w:val="single" w:sz="4" w:space="0" w:color="auto"/>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1</w:t>
            </w:r>
          </w:p>
        </w:tc>
      </w:tr>
      <w:tr w:rsidR="00254400" w:rsidRPr="00254400" w:rsidTr="00254400">
        <w:trPr>
          <w:trHeight w:val="255"/>
        </w:trPr>
        <w:tc>
          <w:tcPr>
            <w:tcW w:w="76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27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vAlign w:val="center"/>
            <w:hideMark/>
          </w:tcPr>
          <w:p w:rsidR="00254400" w:rsidRPr="00254400" w:rsidRDefault="00254400" w:rsidP="00254400">
            <w:pPr>
              <w:spacing w:after="0" w:line="240" w:lineRule="auto"/>
              <w:jc w:val="center"/>
              <w:rPr>
                <w:rFonts w:ascii="Times New Roman" w:eastAsia="Times New Roman" w:hAnsi="Times New Roman" w:cs="Times New Roman"/>
                <w:color w:val="000000"/>
                <w:sz w:val="20"/>
                <w:szCs w:val="20"/>
                <w:lang w:eastAsia="id-ID"/>
              </w:rPr>
            </w:pPr>
          </w:p>
        </w:tc>
      </w:tr>
      <w:tr w:rsidR="00254400" w:rsidRPr="00254400" w:rsidTr="00254400">
        <w:trPr>
          <w:trHeight w:val="1065"/>
        </w:trPr>
        <w:tc>
          <w:tcPr>
            <w:tcW w:w="12380" w:type="dxa"/>
            <w:gridSpan w:val="5"/>
            <w:tcBorders>
              <w:top w:val="nil"/>
              <w:left w:val="nil"/>
              <w:bottom w:val="nil"/>
              <w:right w:val="nil"/>
            </w:tcBorders>
            <w:shd w:val="clear" w:color="auto" w:fill="auto"/>
            <w:vAlign w:val="center"/>
            <w:hideMark/>
          </w:tcPr>
          <w:p w:rsidR="00254400" w:rsidRPr="00254400" w:rsidRDefault="00254400" w:rsidP="00254400">
            <w:pPr>
              <w:spacing w:after="0" w:line="240" w:lineRule="auto"/>
              <w:rPr>
                <w:rFonts w:ascii="Times New Roman" w:eastAsia="Times New Roman" w:hAnsi="Times New Roman" w:cs="Times New Roman"/>
                <w:color w:val="000000"/>
                <w:sz w:val="20"/>
                <w:szCs w:val="20"/>
                <w:lang w:eastAsia="id-ID"/>
              </w:rPr>
            </w:pPr>
            <w:r w:rsidRPr="00254400">
              <w:rPr>
                <w:rFonts w:ascii="Times New Roman" w:eastAsia="Times New Roman" w:hAnsi="Times New Roman" w:cs="Times New Roman"/>
                <w:color w:val="000000"/>
                <w:sz w:val="20"/>
                <w:szCs w:val="20"/>
                <w:lang w:eastAsia="id-ID"/>
              </w:rPr>
              <w:t xml:space="preserve">Note: ada koduken laporan GTZ tentang Dukukngan teknis yang Pengembangan Alternatif peningkatan pendapatan kelompok masyarakat peduli hutan (KMPH) binaan MRPP pada desa-desa disekitar kelompok hutan rawa gambut Merang-kepayang.  Laporan ini bukan dokumen kebijakan tapi memberikan informasi tentang kegigiatan yang dilakukan.  </w:t>
            </w:r>
          </w:p>
        </w:tc>
      </w:tr>
    </w:tbl>
    <w:p w:rsidR="00254400" w:rsidRDefault="00254400"/>
    <w:sectPr w:rsidR="00254400"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54400"/>
    <w:rsid w:val="0026067C"/>
    <w:rsid w:val="004165D1"/>
    <w:rsid w:val="006E5970"/>
    <w:rsid w:val="00A91768"/>
    <w:rsid w:val="00BB5203"/>
    <w:rsid w:val="00D067D9"/>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54400"/>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1008020872">
      <w:bodyDiv w:val="1"/>
      <w:marLeft w:val="0"/>
      <w:marRight w:val="0"/>
      <w:marTop w:val="0"/>
      <w:marBottom w:val="0"/>
      <w:divBdr>
        <w:top w:val="none" w:sz="0" w:space="0" w:color="auto"/>
        <w:left w:val="none" w:sz="0" w:space="0" w:color="auto"/>
        <w:bottom w:val="none" w:sz="0" w:space="0" w:color="auto"/>
        <w:right w:val="none" w:sz="0" w:space="0" w:color="auto"/>
      </w:divBdr>
    </w:div>
    <w:div w:id="195147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13</Pages>
  <Words>4246</Words>
  <Characters>24205</Characters>
  <Application>Microsoft Office Word</Application>
  <DocSecurity>0</DocSecurity>
  <Lines>201</Lines>
  <Paragraphs>56</Paragraphs>
  <ScaleCrop>false</ScaleCrop>
  <Company/>
  <LinksUpToDate>false</LinksUpToDate>
  <CharactersWithSpaces>28395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2</cp:revision>
  <dcterms:created xsi:type="dcterms:W3CDTF">2012-10-16T01:42:00Z</dcterms:created>
  <dcterms:modified xsi:type="dcterms:W3CDTF">2012-10-16T06:50:00Z</dcterms:modified>
</cp:coreProperties>
</file>